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A5F49" w14:textId="77777777" w:rsidR="00B76DB8" w:rsidRPr="001C30AC" w:rsidRDefault="00B76DB8" w:rsidP="00B76DB8">
      <w:pPr>
        <w:ind w:right="-131"/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404040" w:themeColor="text1" w:themeTint="BF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7D186A4B" wp14:editId="2CB2BD80">
            <wp:simplePos x="0" y="0"/>
            <wp:positionH relativeFrom="column">
              <wp:posOffset>4739005</wp:posOffset>
            </wp:positionH>
            <wp:positionV relativeFrom="paragraph">
              <wp:posOffset>-182880</wp:posOffset>
            </wp:positionV>
            <wp:extent cx="922020" cy="1152525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0AC"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  <w:t xml:space="preserve">ASSOCIATION SPORTIVE </w:t>
      </w:r>
    </w:p>
    <w:p w14:paraId="7DF662DC" w14:textId="77777777" w:rsidR="00B76DB8" w:rsidRPr="001C30AC" w:rsidRDefault="00B76DB8" w:rsidP="00B76DB8">
      <w:pPr>
        <w:ind w:right="-131"/>
        <w:rPr>
          <w:rFonts w:asciiTheme="minorHAnsi" w:hAnsiTheme="minorHAnsi" w:cstheme="minorHAnsi"/>
          <w:color w:val="404040" w:themeColor="text1" w:themeTint="BF"/>
        </w:rPr>
      </w:pPr>
      <w:r w:rsidRPr="001C30AC"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  <w:t>DU GOLF DE VAL QUEVEN</w:t>
      </w:r>
    </w:p>
    <w:p w14:paraId="703B8EF9" w14:textId="77777777" w:rsidR="00B76DB8" w:rsidRPr="001C30AC" w:rsidRDefault="00B76DB8" w:rsidP="00B76DB8">
      <w:pPr>
        <w:rPr>
          <w:rFonts w:asciiTheme="minorHAnsi" w:hAnsiTheme="minorHAnsi" w:cstheme="minorHAnsi"/>
          <w:color w:val="404040" w:themeColor="text1" w:themeTint="BF"/>
        </w:rPr>
      </w:pPr>
    </w:p>
    <w:p w14:paraId="37E8ECCE" w14:textId="16606A8B" w:rsidR="00B76DB8" w:rsidRPr="00B76DB8" w:rsidRDefault="00B76DB8" w:rsidP="00B76DB8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E36C0A" w:themeColor="accent6" w:themeShade="BF"/>
          <w:sz w:val="18"/>
          <w:szCs w:val="16"/>
        </w:rPr>
      </w:pPr>
      <w:r w:rsidRPr="00B76DB8">
        <w:rPr>
          <w:rFonts w:asciiTheme="minorHAnsi" w:hAnsiTheme="minorHAnsi" w:cstheme="minorHAnsi"/>
          <w:b/>
          <w:color w:val="E36C0A" w:themeColor="accent6" w:themeShade="BF"/>
          <w:sz w:val="22"/>
          <w:szCs w:val="20"/>
        </w:rPr>
        <w:t xml:space="preserve">COMPTE RENDU DE LA REUNION DU </w:t>
      </w:r>
      <w:r w:rsidR="00982C28">
        <w:rPr>
          <w:rFonts w:asciiTheme="minorHAnsi" w:hAnsiTheme="minorHAnsi" w:cstheme="minorHAnsi"/>
          <w:b/>
          <w:color w:val="E36C0A" w:themeColor="accent6" w:themeShade="BF"/>
          <w:sz w:val="22"/>
          <w:szCs w:val="20"/>
        </w:rPr>
        <w:t>15 NOVEMBRE</w:t>
      </w:r>
      <w:r w:rsidR="00965AFE">
        <w:rPr>
          <w:rFonts w:asciiTheme="minorHAnsi" w:hAnsiTheme="minorHAnsi" w:cstheme="minorHAnsi"/>
          <w:b/>
          <w:color w:val="E36C0A" w:themeColor="accent6" w:themeShade="BF"/>
          <w:sz w:val="22"/>
          <w:szCs w:val="20"/>
        </w:rPr>
        <w:t xml:space="preserve"> </w:t>
      </w:r>
      <w:r w:rsidR="00A76C0E">
        <w:rPr>
          <w:rFonts w:asciiTheme="minorHAnsi" w:hAnsiTheme="minorHAnsi" w:cstheme="minorHAnsi"/>
          <w:b/>
          <w:color w:val="E36C0A" w:themeColor="accent6" w:themeShade="BF"/>
          <w:sz w:val="22"/>
          <w:szCs w:val="20"/>
        </w:rPr>
        <w:t>2021</w:t>
      </w:r>
    </w:p>
    <w:p w14:paraId="358FEC06" w14:textId="77777777" w:rsidR="00965AFE" w:rsidRDefault="00965AFE" w:rsidP="00753C1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u w:val="single"/>
        </w:rPr>
      </w:pPr>
    </w:p>
    <w:p w14:paraId="1EB7EA22" w14:textId="264DD871" w:rsidR="00753C13" w:rsidRDefault="00B76DB8" w:rsidP="00753C1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</w:pPr>
      <w:r w:rsidRPr="001C30AC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u w:val="single"/>
        </w:rPr>
        <w:t>PRESENTS</w:t>
      </w:r>
      <w:r w:rsidRPr="001C30AC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 : </w:t>
      </w:r>
      <w:r w:rsidRPr="001C30A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Raymond LE NAVENEC </w:t>
      </w:r>
      <w:r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–</w:t>
      </w:r>
      <w:r w:rsidRPr="001C30A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J-François VILLETTE</w:t>
      </w:r>
      <w:r w:rsidR="00D53319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–</w:t>
      </w:r>
      <w:r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–Dominique JAN - Rémi CAVAGNA -  Florian JOUAN - </w:t>
      </w:r>
      <w:r w:rsidR="00A76C0E"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Pierre </w:t>
      </w:r>
      <w:r w:rsidR="00982C28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MOELLO - </w:t>
      </w:r>
      <w:r w:rsidR="00A76C0E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Stéphane THIOU</w:t>
      </w:r>
      <w:r w:rsidR="00BD64F1" w:rsidRPr="00BD64F1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</w:t>
      </w:r>
      <w:r w:rsidR="00BD64F1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- Quentin CALVEZ - </w:t>
      </w:r>
      <w:r w:rsidR="00BD64F1"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Simon BIHANNIC</w:t>
      </w:r>
      <w:r w:rsidR="00965AFE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- </w:t>
      </w:r>
      <w:r w:rsidR="00965AF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965AFE" w:rsidRPr="00C93CF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Christian PAUL</w:t>
      </w:r>
      <w:r w:rsidR="00965AF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Sébastien DUHAMEL - </w:t>
      </w:r>
      <w:r w:rsidR="00965AFE" w:rsidRPr="00C93CF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965AFE"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Katia</w:t>
      </w:r>
      <w:r w:rsidR="00965AFE" w:rsidRPr="001C30A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L</w:t>
      </w:r>
      <w:r w:rsidR="00965AFE"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E GUENNEC</w:t>
      </w:r>
    </w:p>
    <w:p w14:paraId="0BE40B19" w14:textId="12B1EEBD" w:rsidR="00982C28" w:rsidRDefault="00982C28" w:rsidP="00753C1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</w:pPr>
      <w:r w:rsidRPr="00982C2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u w:val="single"/>
        </w:rPr>
        <w:t>EXCUSES :</w:t>
      </w:r>
      <w:r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</w:t>
      </w:r>
      <w:r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Laurent RITZ</w:t>
      </w:r>
      <w:r w:rsidRPr="00982C28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- </w:t>
      </w:r>
      <w:r w:rsidRPr="001C30AC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Thierry NICOLLE</w:t>
      </w:r>
      <w:r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- </w:t>
      </w:r>
      <w:r w:rsidRPr="00982C2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C93CF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Annie PAUL</w:t>
      </w:r>
    </w:p>
    <w:p w14:paraId="586A4161" w14:textId="2D0D7377" w:rsidR="00965AFE" w:rsidRPr="00982C28" w:rsidRDefault="00B76DB8" w:rsidP="00982C28">
      <w:pPr>
        <w:pStyle w:val="En-tte"/>
        <w:tabs>
          <w:tab w:val="clear" w:pos="4536"/>
          <w:tab w:val="clear" w:pos="9072"/>
          <w:tab w:val="right" w:pos="0"/>
          <w:tab w:val="right" w:leader="hyphen" w:pos="10205"/>
        </w:tabs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1C30AC">
        <w:rPr>
          <w:rFonts w:asciiTheme="minorHAnsi" w:hAnsiTheme="minorHAnsi" w:cstheme="minorHAnsi"/>
          <w:bCs/>
          <w:i/>
          <w:color w:val="404040" w:themeColor="text1" w:themeTint="BF"/>
          <w:sz w:val="16"/>
          <w:szCs w:val="16"/>
        </w:rPr>
        <w:t>____________________________________________________________________________________________________</w:t>
      </w:r>
      <w:r w:rsidR="00965AFE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</w:t>
      </w:r>
    </w:p>
    <w:p w14:paraId="75D165E7" w14:textId="77777777" w:rsidR="00965AFE" w:rsidRDefault="00965AFE" w:rsidP="00904ADA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</w:p>
    <w:p w14:paraId="6D32C1F4" w14:textId="1B359E47" w:rsidR="00B76DB8" w:rsidRDefault="00B76DB8" w:rsidP="00904ADA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 w:rsidRPr="00787173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Point licences </w:t>
      </w:r>
      <w:r w:rsidR="00787173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au </w:t>
      </w:r>
      <w:r w:rsidR="00982C28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14/11</w:t>
      </w:r>
      <w:r w:rsidR="00BD64F1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/</w:t>
      </w:r>
      <w:r w:rsidR="00A76C0E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2021</w:t>
      </w:r>
    </w:p>
    <w:p w14:paraId="7DBCEA9E" w14:textId="77777777" w:rsidR="0071393D" w:rsidRPr="001C30AC" w:rsidRDefault="0071393D" w:rsidP="00904AD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87"/>
      </w:tblGrid>
      <w:tr w:rsidR="00B76DB8" w:rsidRPr="001C30AC" w14:paraId="17EC5A07" w14:textId="77777777" w:rsidTr="009D5A7E">
        <w:tc>
          <w:tcPr>
            <w:tcW w:w="2119" w:type="dxa"/>
            <w:shd w:val="clear" w:color="auto" w:fill="auto"/>
          </w:tcPr>
          <w:p w14:paraId="4F47AEBE" w14:textId="77777777" w:rsidR="00B76DB8" w:rsidRPr="001C30AC" w:rsidRDefault="00B76DB8" w:rsidP="00C03739">
            <w:pPr>
              <w:jc w:val="center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1C30AC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Hommes</w:t>
            </w:r>
          </w:p>
        </w:tc>
        <w:tc>
          <w:tcPr>
            <w:tcW w:w="3387" w:type="dxa"/>
            <w:shd w:val="clear" w:color="auto" w:fill="auto"/>
          </w:tcPr>
          <w:p w14:paraId="0C0787AB" w14:textId="3FF57DD3" w:rsidR="00B76DB8" w:rsidRPr="001C30AC" w:rsidRDefault="00982C28" w:rsidP="009D5A7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379</w:t>
            </w:r>
          </w:p>
        </w:tc>
      </w:tr>
      <w:tr w:rsidR="00B76DB8" w:rsidRPr="001C30AC" w14:paraId="529E8038" w14:textId="77777777" w:rsidTr="009D5A7E">
        <w:tc>
          <w:tcPr>
            <w:tcW w:w="2119" w:type="dxa"/>
            <w:shd w:val="clear" w:color="auto" w:fill="auto"/>
          </w:tcPr>
          <w:p w14:paraId="61468D24" w14:textId="77777777" w:rsidR="00B76DB8" w:rsidRPr="001C30AC" w:rsidRDefault="00B76DB8" w:rsidP="00C0373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</w:rPr>
            </w:pPr>
            <w:r w:rsidRPr="001C30AC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Femmes</w:t>
            </w:r>
          </w:p>
        </w:tc>
        <w:tc>
          <w:tcPr>
            <w:tcW w:w="3387" w:type="dxa"/>
            <w:shd w:val="clear" w:color="auto" w:fill="auto"/>
          </w:tcPr>
          <w:p w14:paraId="6AA18CAC" w14:textId="48EF152C" w:rsidR="00B76DB8" w:rsidRPr="001C30AC" w:rsidRDefault="00BD64F1" w:rsidP="00982C28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="00982C28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112</w:t>
            </w:r>
          </w:p>
        </w:tc>
      </w:tr>
      <w:tr w:rsidR="00B76DB8" w:rsidRPr="001C30AC" w14:paraId="4C4FCBC4" w14:textId="77777777" w:rsidTr="009D5A7E">
        <w:tc>
          <w:tcPr>
            <w:tcW w:w="2119" w:type="dxa"/>
            <w:shd w:val="clear" w:color="auto" w:fill="auto"/>
          </w:tcPr>
          <w:p w14:paraId="25A9C71A" w14:textId="77777777" w:rsidR="00B76DB8" w:rsidRPr="001C30AC" w:rsidRDefault="00B76DB8" w:rsidP="009D5A7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</w:rPr>
            </w:pPr>
            <w:r w:rsidRPr="001C30AC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Total</w:t>
            </w:r>
          </w:p>
        </w:tc>
        <w:tc>
          <w:tcPr>
            <w:tcW w:w="3387" w:type="dxa"/>
            <w:shd w:val="clear" w:color="auto" w:fill="auto"/>
          </w:tcPr>
          <w:p w14:paraId="7D47F35A" w14:textId="4815197A" w:rsidR="00B76DB8" w:rsidRPr="001C30AC" w:rsidRDefault="00982C28" w:rsidP="009D5A7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491</w:t>
            </w:r>
          </w:p>
        </w:tc>
      </w:tr>
      <w:tr w:rsidR="00B76DB8" w:rsidRPr="001C30AC" w14:paraId="3DA6A462" w14:textId="77777777" w:rsidTr="009D5A7E">
        <w:tc>
          <w:tcPr>
            <w:tcW w:w="2119" w:type="dxa"/>
            <w:shd w:val="clear" w:color="auto" w:fill="auto"/>
          </w:tcPr>
          <w:p w14:paraId="2C48F2A6" w14:textId="77777777" w:rsidR="00B76DB8" w:rsidRPr="001C30AC" w:rsidRDefault="00B76DB8" w:rsidP="009D5A7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</w:rPr>
            </w:pPr>
            <w:r w:rsidRPr="001C30AC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Dont jeunes</w:t>
            </w:r>
          </w:p>
        </w:tc>
        <w:tc>
          <w:tcPr>
            <w:tcW w:w="3387" w:type="dxa"/>
            <w:shd w:val="clear" w:color="auto" w:fill="auto"/>
          </w:tcPr>
          <w:p w14:paraId="059198FC" w14:textId="6274574F" w:rsidR="00B76DB8" w:rsidRPr="001C30AC" w:rsidRDefault="00982C28" w:rsidP="00D53319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  <w:t>55</w:t>
            </w:r>
          </w:p>
        </w:tc>
      </w:tr>
    </w:tbl>
    <w:p w14:paraId="3CFD1D37" w14:textId="77777777" w:rsidR="00B76DB8" w:rsidRPr="001C30AC" w:rsidRDefault="00B76DB8" w:rsidP="00B76DB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78C8D9EC" w14:textId="094CF7A6" w:rsidR="00D53319" w:rsidRDefault="00753C13" w:rsidP="00B76DB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Une </w:t>
      </w:r>
      <w:r w:rsidR="00BD64F1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hausse 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du nombre de licenciés de l’ordre de </w:t>
      </w:r>
      <w:r w:rsidR="00982C2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6.74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%</w:t>
      </w:r>
      <w:r w:rsidR="00A76C0E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à date </w:t>
      </w:r>
      <w:r w:rsidR="00DF4D3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vs</w:t>
      </w:r>
      <w:r w:rsidR="00965AFE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2020</w:t>
      </w:r>
      <w:r w:rsidR="00982C2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. A souligner le nombre de 21 reprises de licences</w:t>
      </w:r>
      <w:r w:rsidR="00965AFE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</w:t>
      </w:r>
      <w:r w:rsidR="00982C2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(non licenciés en 2020) </w:t>
      </w:r>
      <w:r w:rsidR="00965AFE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et </w:t>
      </w:r>
      <w:r w:rsidR="00982C2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22 créations. On enregistre une évolution de 40 licenciés chez les hommes, quand le nombre de femmes est en baisse de 9 licenciées. </w:t>
      </w:r>
    </w:p>
    <w:p w14:paraId="5F36712E" w14:textId="77777777" w:rsidR="007D0F9A" w:rsidRDefault="007D0F9A" w:rsidP="00B76DB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46A0DE0F" w14:textId="58427E11" w:rsidR="007D0F9A" w:rsidRDefault="007D0F9A" w:rsidP="00B76DB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Le bureau prend la décision de maintenir la cotisation association sportive pour les licences de la saison 2022 à </w:t>
      </w:r>
      <w:r w:rsidRPr="007D0F9A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37 €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(adulte)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, le formulaire d’adhésion sera disponible sur le site et à l’accueil du club house pour enregistrement à partir du 01/12/2021. </w:t>
      </w:r>
    </w:p>
    <w:p w14:paraId="1D9EAA56" w14:textId="77777777" w:rsidR="004F5DA6" w:rsidRDefault="004F5DA6" w:rsidP="00B76DB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2ED0A4E9" w14:textId="523ADF9B" w:rsidR="00A76C0E" w:rsidRDefault="00982C28" w:rsidP="00B76DB8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Assemblée Générale </w:t>
      </w:r>
    </w:p>
    <w:p w14:paraId="7A7177A7" w14:textId="77777777" w:rsidR="00A50C87" w:rsidRDefault="00A50C87" w:rsidP="00B76DB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2D7B268B" w14:textId="77777777" w:rsidR="00744DAA" w:rsidRDefault="00982C28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 w:rsidRP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La date de l’Assemblée Générale est fixée au </w:t>
      </w:r>
      <w:r w:rsidRPr="00744DAA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  <w:u w:val="single"/>
        </w:rPr>
        <w:t>Samedi 05 Février 2022</w:t>
      </w:r>
      <w:r w:rsidRP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, à la salle Robert </w:t>
      </w:r>
      <w:proofErr w:type="spellStart"/>
      <w:r w:rsidRP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J</w:t>
      </w:r>
      <w:r w:rsidR="00744DAA" w:rsidRP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égousse</w:t>
      </w:r>
      <w:proofErr w:type="spellEnd"/>
      <w:r w:rsidR="00744DAA" w:rsidRP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(idem AG du 03/07/2021). </w:t>
      </w:r>
      <w:r w:rsid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Chaque responsable de section préparera son support de présentation (</w:t>
      </w:r>
      <w:proofErr w:type="spellStart"/>
      <w:r w:rsid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powerpoint</w:t>
      </w:r>
      <w:proofErr w:type="spellEnd"/>
      <w:r w:rsid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), à transmettre à Pierre </w:t>
      </w:r>
      <w:proofErr w:type="spellStart"/>
      <w:r w:rsid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Moello</w:t>
      </w:r>
      <w:proofErr w:type="spellEnd"/>
      <w:r w:rsid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qui en assurera la centralisation. </w:t>
      </w:r>
    </w:p>
    <w:p w14:paraId="6ED218F7" w14:textId="77777777" w:rsidR="00744DAA" w:rsidRDefault="00744DAA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1DE60611" w14:textId="77777777" w:rsidR="00744DAA" w:rsidRPr="00744DAA" w:rsidRDefault="00744DAA" w:rsidP="00744DAA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 w:rsidRPr="00744DAA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Championnat du Club </w:t>
      </w:r>
    </w:p>
    <w:p w14:paraId="7BCCF1E9" w14:textId="77777777" w:rsidR="00744DAA" w:rsidRDefault="00744DAA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544955AB" w14:textId="77777777" w:rsidR="00553618" w:rsidRDefault="00744DAA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Une nouvelle formule sur deux tours en format Grand Prix a été testée cette année, force est de constater que la participation n’a pas été à la hauteur des attentes (50 compétiteurs). Après discussion sur les diverses raisons qui ont motivé cette situation, il est décidé de lancer une réflexion </w:t>
      </w:r>
      <w:r w:rsidR="0055361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sur les différentes formules de jeu 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pour l’</w:t>
      </w:r>
      <w:r w:rsidR="0055361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année prochaine. </w:t>
      </w:r>
    </w:p>
    <w:p w14:paraId="6A42A35D" w14:textId="77777777" w:rsidR="00553618" w:rsidRDefault="00553618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0B6C40A6" w14:textId="77777777" w:rsidR="00553618" w:rsidRPr="00553618" w:rsidRDefault="00553618" w:rsidP="00744DAA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 w:rsidRPr="00553618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Déménagement du Club House </w:t>
      </w:r>
    </w:p>
    <w:p w14:paraId="2F8DE992" w14:textId="77777777" w:rsidR="00553618" w:rsidRDefault="00553618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69889FFD" w14:textId="422E116E" w:rsidR="006A761D" w:rsidRDefault="00553618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La commission de sécurité devrait passer pour conformité des installations le 06/12, le déménagement se ferait à la mi-décembre. A part</w:t>
      </w:r>
      <w:bookmarkStart w:id="0" w:name="_GoBack"/>
      <w:bookmarkEnd w:id="0"/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ir du 01/12, il n’y aura plus de possibilité de restauration, ni bar dans les </w:t>
      </w:r>
      <w:proofErr w:type="spellStart"/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algecos</w:t>
      </w:r>
      <w:proofErr w:type="spellEnd"/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. </w:t>
      </w:r>
      <w:r w:rsidR="00744DAA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</w:t>
      </w:r>
    </w:p>
    <w:p w14:paraId="23467997" w14:textId="77777777" w:rsidR="00553618" w:rsidRDefault="00553618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61B36AE6" w14:textId="19EC5AC9" w:rsidR="00553618" w:rsidRPr="00553618" w:rsidRDefault="00553618" w:rsidP="00744DAA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 w:rsidRPr="00553618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Calendrier prévisionnel </w:t>
      </w:r>
    </w:p>
    <w:p w14:paraId="6CCD4566" w14:textId="77777777" w:rsidR="00553618" w:rsidRDefault="00553618" w:rsidP="00744DAA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46BF446D" w14:textId="6E5F9C96" w:rsidR="00744DAA" w:rsidRDefault="00553618" w:rsidP="0055361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Une dizaine de sponsors ont d’ores et déjà donné un accord de principe pour faire une compétition. Il est prématuré de diffuser les dates. </w:t>
      </w:r>
    </w:p>
    <w:p w14:paraId="0C4DAB93" w14:textId="77777777" w:rsidR="00553618" w:rsidRDefault="00553618" w:rsidP="0055361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En ce qui concerne les évènements sportifs, Val Quéven accueillera </w:t>
      </w:r>
    </w:p>
    <w:p w14:paraId="58CF90C8" w14:textId="77777777" w:rsidR="00553618" w:rsidRDefault="00553618" w:rsidP="0055361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</w:p>
    <w:p w14:paraId="003AE493" w14:textId="150BD29F" w:rsidR="00553618" w:rsidRDefault="00553618" w:rsidP="00553618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 w:rsidRPr="0055361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Championnat de Bretagne par équipes </w:t>
      </w:r>
    </w:p>
    <w:p w14:paraId="45B39299" w14:textId="1C06CAE8" w:rsidR="00553618" w:rsidRDefault="00553618" w:rsidP="00553618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lastRenderedPageBreak/>
        <w:t xml:space="preserve">Grand Prix </w:t>
      </w:r>
      <w:proofErr w:type="spellStart"/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Mid</w:t>
      </w:r>
      <w:proofErr w:type="spellEnd"/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 Amateurs</w:t>
      </w:r>
    </w:p>
    <w:p w14:paraId="6FEE1775" w14:textId="25359553" w:rsidR="00553618" w:rsidRDefault="00553618" w:rsidP="00553618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Grand Prix de Val Quéven </w:t>
      </w:r>
    </w:p>
    <w:p w14:paraId="4F8B11C5" w14:textId="081B81C4" w:rsidR="00553618" w:rsidRDefault="00553618" w:rsidP="00553618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Trophée seniors </w:t>
      </w:r>
    </w:p>
    <w:p w14:paraId="21DBCB85" w14:textId="21446B28" w:rsidR="00553618" w:rsidRPr="00553618" w:rsidRDefault="00553618" w:rsidP="00553618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Division seniors </w:t>
      </w:r>
    </w:p>
    <w:p w14:paraId="51B1DE80" w14:textId="77777777" w:rsidR="00553618" w:rsidRDefault="00553618" w:rsidP="0055361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  <w:u w:val="single"/>
        </w:rPr>
      </w:pPr>
      <w:r w:rsidRPr="00553618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Le calendrier de ces différents évènements sera diffusé sur le site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  <w:u w:val="single"/>
        </w:rPr>
        <w:t xml:space="preserve">. </w:t>
      </w:r>
    </w:p>
    <w:p w14:paraId="4DFB96F8" w14:textId="77777777" w:rsidR="00553618" w:rsidRDefault="00553618" w:rsidP="00553618">
      <w:p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  <w:u w:val="single"/>
        </w:rPr>
      </w:pPr>
    </w:p>
    <w:p w14:paraId="4970D261" w14:textId="77777777" w:rsidR="00553618" w:rsidRDefault="00553618" w:rsidP="00553618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 w:rsidRPr="00553618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Questions diverses </w:t>
      </w:r>
    </w:p>
    <w:p w14:paraId="2570BFAB" w14:textId="77777777" w:rsidR="00553618" w:rsidRDefault="00553618" w:rsidP="00553618">
      <w:p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</w:p>
    <w:p w14:paraId="7175B7F1" w14:textId="4B07139F" w:rsidR="00553618" w:rsidRDefault="00553618" w:rsidP="006A761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</w:pPr>
      <w:r w:rsidRPr="006A761D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Assemblée Générale </w:t>
      </w:r>
      <w:r w:rsidR="006A761D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ISP : </w:t>
      </w:r>
      <w:r w:rsidR="006A761D" w:rsidRPr="006A761D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Jean-François Villette est nommé référent pour  Val Quéven</w:t>
      </w:r>
    </w:p>
    <w:p w14:paraId="68E5980D" w14:textId="01282D1A" w:rsidR="006A761D" w:rsidRPr="006A761D" w:rsidRDefault="006A761D" w:rsidP="006A761D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Inauguration du Club House - 30 ans du club : </w:t>
      </w:r>
      <w:r w:rsidRPr="006A761D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à date le déroulement de l’inauguration 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avec le gestionnaire et les institutions </w:t>
      </w:r>
      <w:r w:rsidRPr="006A761D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n’est pas connue, </w:t>
      </w:r>
      <w:r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 xml:space="preserve">l’Asso verra en concertation avec ces derniers s’il y a lieu d’associer les 30 ans du club. </w:t>
      </w:r>
    </w:p>
    <w:p w14:paraId="0CF88FEC" w14:textId="2D8BA64D" w:rsidR="0071393D" w:rsidRPr="0071393D" w:rsidRDefault="0071393D" w:rsidP="0071393D">
      <w:pPr>
        <w:ind w:left="708"/>
        <w:rPr>
          <w:rFonts w:asciiTheme="minorHAnsi" w:hAnsiTheme="minorHAnsi" w:cstheme="minorHAnsi"/>
          <w:sz w:val="22"/>
          <w:szCs w:val="22"/>
        </w:rPr>
      </w:pPr>
      <w:r w:rsidRPr="001A03E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35CF2F66" w14:textId="77777777" w:rsidR="0071393D" w:rsidRDefault="0071393D"/>
    <w:p w14:paraId="67C124A3" w14:textId="77777777" w:rsidR="0071393D" w:rsidRDefault="0071393D"/>
    <w:p w14:paraId="077384FB" w14:textId="77777777" w:rsidR="0071393D" w:rsidRDefault="0071393D"/>
    <w:p w14:paraId="75C13F43" w14:textId="1F03D26B" w:rsidR="0071393D" w:rsidRPr="0071393D" w:rsidRDefault="0071393D" w:rsidP="0071393D">
      <w:pPr>
        <w:jc w:val="center"/>
        <w:rPr>
          <w:rFonts w:asciiTheme="minorHAnsi" w:hAnsiTheme="minorHAnsi" w:cstheme="minorHAnsi"/>
          <w:b/>
          <w:u w:val="single"/>
        </w:rPr>
      </w:pPr>
      <w:r w:rsidRPr="0071393D">
        <w:rPr>
          <w:rFonts w:asciiTheme="minorHAnsi" w:hAnsiTheme="minorHAnsi" w:cstheme="minorHAnsi"/>
          <w:b/>
          <w:u w:val="single"/>
        </w:rPr>
        <w:t xml:space="preserve">PROCHAINE REUNION LE LUNDI </w:t>
      </w:r>
      <w:r w:rsidR="006A761D">
        <w:rPr>
          <w:rFonts w:asciiTheme="minorHAnsi" w:hAnsiTheme="minorHAnsi" w:cstheme="minorHAnsi"/>
          <w:b/>
          <w:u w:val="single"/>
        </w:rPr>
        <w:t xml:space="preserve">10 JANVIER </w:t>
      </w:r>
      <w:r w:rsidRPr="0071393D">
        <w:rPr>
          <w:rFonts w:asciiTheme="minorHAnsi" w:hAnsiTheme="minorHAnsi" w:cstheme="minorHAnsi"/>
          <w:b/>
          <w:u w:val="single"/>
        </w:rPr>
        <w:t xml:space="preserve"> A 18 H 30</w:t>
      </w:r>
    </w:p>
    <w:sectPr w:rsidR="0071393D" w:rsidRPr="0071393D" w:rsidSect="000A561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774" w:hanging="360"/>
      </w:pPr>
      <w:rPr>
        <w:rFonts w:ascii="Wingdings" w:hAnsi="Wingdings" w:cs="Wingdings"/>
      </w:rPr>
    </w:lvl>
  </w:abstractNum>
  <w:abstractNum w:abstractNumId="1" w15:restartNumberingAfterBreak="0">
    <w:nsid w:val="05B46D86"/>
    <w:multiLevelType w:val="hybridMultilevel"/>
    <w:tmpl w:val="13C496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496"/>
    <w:multiLevelType w:val="hybridMultilevel"/>
    <w:tmpl w:val="2D9057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01DE"/>
    <w:multiLevelType w:val="hybridMultilevel"/>
    <w:tmpl w:val="436851A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DA043E"/>
    <w:multiLevelType w:val="hybridMultilevel"/>
    <w:tmpl w:val="A7F60F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C3B"/>
    <w:multiLevelType w:val="hybridMultilevel"/>
    <w:tmpl w:val="83605E0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450ED8"/>
    <w:multiLevelType w:val="hybridMultilevel"/>
    <w:tmpl w:val="FEC2F79E"/>
    <w:lvl w:ilvl="0" w:tplc="A4442F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3D5B"/>
    <w:multiLevelType w:val="hybridMultilevel"/>
    <w:tmpl w:val="5B74C3B0"/>
    <w:lvl w:ilvl="0" w:tplc="22FC7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2E7"/>
    <w:multiLevelType w:val="hybridMultilevel"/>
    <w:tmpl w:val="0A34E6C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D44E03"/>
    <w:multiLevelType w:val="hybridMultilevel"/>
    <w:tmpl w:val="3BCA40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25F09"/>
    <w:multiLevelType w:val="hybridMultilevel"/>
    <w:tmpl w:val="BDACDFB8"/>
    <w:lvl w:ilvl="0" w:tplc="669CE500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44492"/>
    <w:multiLevelType w:val="hybridMultilevel"/>
    <w:tmpl w:val="8BC441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46FBE"/>
    <w:multiLevelType w:val="hybridMultilevel"/>
    <w:tmpl w:val="315CFB50"/>
    <w:lvl w:ilvl="0" w:tplc="9B3A746C">
      <w:start w:val="1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567829"/>
    <w:multiLevelType w:val="hybridMultilevel"/>
    <w:tmpl w:val="02C0E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1FC3"/>
    <w:multiLevelType w:val="hybridMultilevel"/>
    <w:tmpl w:val="DEEA3686"/>
    <w:lvl w:ilvl="0" w:tplc="9B3A746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15E33"/>
    <w:multiLevelType w:val="hybridMultilevel"/>
    <w:tmpl w:val="EE04B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8499E"/>
    <w:multiLevelType w:val="hybridMultilevel"/>
    <w:tmpl w:val="D142523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936135"/>
    <w:multiLevelType w:val="hybridMultilevel"/>
    <w:tmpl w:val="2A80F7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B1E9D"/>
    <w:multiLevelType w:val="hybridMultilevel"/>
    <w:tmpl w:val="3C80559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FEB405F"/>
    <w:multiLevelType w:val="hybridMultilevel"/>
    <w:tmpl w:val="9D2661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7"/>
  </w:num>
  <w:num w:numId="6">
    <w:abstractNumId w:val="2"/>
  </w:num>
  <w:num w:numId="7">
    <w:abstractNumId w:val="11"/>
  </w:num>
  <w:num w:numId="8">
    <w:abstractNumId w:val="15"/>
  </w:num>
  <w:num w:numId="9">
    <w:abstractNumId w:val="0"/>
  </w:num>
  <w:num w:numId="10">
    <w:abstractNumId w:val="9"/>
  </w:num>
  <w:num w:numId="11">
    <w:abstractNumId w:val="19"/>
  </w:num>
  <w:num w:numId="12">
    <w:abstractNumId w:val="4"/>
  </w:num>
  <w:num w:numId="13">
    <w:abstractNumId w:val="13"/>
  </w:num>
  <w:num w:numId="14">
    <w:abstractNumId w:val="18"/>
  </w:num>
  <w:num w:numId="15">
    <w:abstractNumId w:val="16"/>
  </w:num>
  <w:num w:numId="16">
    <w:abstractNumId w:val="5"/>
  </w:num>
  <w:num w:numId="17">
    <w:abstractNumId w:val="3"/>
  </w:num>
  <w:num w:numId="18">
    <w:abstractNumId w:val="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B8"/>
    <w:rsid w:val="00030CBC"/>
    <w:rsid w:val="0004621B"/>
    <w:rsid w:val="000A5613"/>
    <w:rsid w:val="001A03E8"/>
    <w:rsid w:val="00237223"/>
    <w:rsid w:val="00282DB4"/>
    <w:rsid w:val="00287A6E"/>
    <w:rsid w:val="00296C0E"/>
    <w:rsid w:val="002B094F"/>
    <w:rsid w:val="00341CA2"/>
    <w:rsid w:val="003B75B3"/>
    <w:rsid w:val="00462BE7"/>
    <w:rsid w:val="00467340"/>
    <w:rsid w:val="004936F2"/>
    <w:rsid w:val="0049567B"/>
    <w:rsid w:val="004C5095"/>
    <w:rsid w:val="004F5DA6"/>
    <w:rsid w:val="005128C9"/>
    <w:rsid w:val="005221B0"/>
    <w:rsid w:val="00553618"/>
    <w:rsid w:val="006046CA"/>
    <w:rsid w:val="0069268C"/>
    <w:rsid w:val="006A761D"/>
    <w:rsid w:val="006B209B"/>
    <w:rsid w:val="0071393D"/>
    <w:rsid w:val="00744DAA"/>
    <w:rsid w:val="00753C13"/>
    <w:rsid w:val="00787173"/>
    <w:rsid w:val="007C1664"/>
    <w:rsid w:val="007D0F9A"/>
    <w:rsid w:val="00814627"/>
    <w:rsid w:val="00883608"/>
    <w:rsid w:val="00904ADA"/>
    <w:rsid w:val="00952F63"/>
    <w:rsid w:val="00961880"/>
    <w:rsid w:val="00965AFE"/>
    <w:rsid w:val="00982C28"/>
    <w:rsid w:val="00997C71"/>
    <w:rsid w:val="00A50C87"/>
    <w:rsid w:val="00A76C0E"/>
    <w:rsid w:val="00A91EEB"/>
    <w:rsid w:val="00B76DB8"/>
    <w:rsid w:val="00BD64F1"/>
    <w:rsid w:val="00BF0450"/>
    <w:rsid w:val="00BF60D6"/>
    <w:rsid w:val="00C03739"/>
    <w:rsid w:val="00C57DB4"/>
    <w:rsid w:val="00C93CFF"/>
    <w:rsid w:val="00D53319"/>
    <w:rsid w:val="00DE11EB"/>
    <w:rsid w:val="00DF4D3A"/>
    <w:rsid w:val="00E96EFC"/>
    <w:rsid w:val="00F54A47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B5A7"/>
  <w15:docId w15:val="{C62DA57D-ABA9-4289-BE8A-6DD538F4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76DB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rsid w:val="00B76DB8"/>
    <w:rPr>
      <w:rFonts w:ascii="Arial" w:eastAsia="Times New Roman" w:hAnsi="Arial" w:cs="Arial"/>
      <w:sz w:val="24"/>
      <w:szCs w:val="24"/>
      <w:lang w:eastAsia="ar-SA"/>
    </w:rPr>
  </w:style>
  <w:style w:type="paragraph" w:styleId="Paragraphedeliste">
    <w:name w:val="List Paragraph"/>
    <w:basedOn w:val="Normal"/>
    <w:qFormat/>
    <w:rsid w:val="00B76DB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6D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DB8"/>
    <w:rPr>
      <w:rFonts w:ascii="Tahoma" w:eastAsia="Times New Roman" w:hAnsi="Tahoma" w:cs="Tahoma"/>
      <w:sz w:val="16"/>
      <w:szCs w:val="16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A56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6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6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6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6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tizz</dc:creator>
  <cp:lastModifiedBy>Katia</cp:lastModifiedBy>
  <cp:revision>4</cp:revision>
  <dcterms:created xsi:type="dcterms:W3CDTF">2021-09-25T09:24:00Z</dcterms:created>
  <dcterms:modified xsi:type="dcterms:W3CDTF">2021-11-17T18:02:00Z</dcterms:modified>
</cp:coreProperties>
</file>